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jc w:val="center"/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ADREA DEL SARTO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jc w:val="center"/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Madone aux harpies 1517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jc w:val="center"/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Détrempe sur bois 178 x 207</w:t>
      </w:r>
      <w:r>
        <w:rPr>
          <w:rFonts w:asciiTheme="majorHAnsi" w:hAnsiTheme="majorHAnsi" w:cstheme="majorHAnsi"/>
        </w:rPr>
        <w:t xml:space="preserve">cm, </w:t>
      </w:r>
      <w:r w:rsidRPr="002657B1">
        <w:rPr>
          <w:rFonts w:asciiTheme="majorHAnsi" w:hAnsiTheme="majorHAnsi" w:cstheme="majorHAnsi"/>
        </w:rPr>
        <w:t>Offices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jc w:val="center"/>
      </w:pPr>
      <w:r w:rsidRPr="002657B1">
        <w:fldChar w:fldCharType="begin"/>
      </w:r>
      <w:r w:rsidRPr="002657B1">
        <w:instrText xml:space="preserve"> INCLUDEPICTURE "/Users/jacquesrives/Library/Group Containers/UBF8T346G9.ms/WebArchiveCopyPasteTempFiles/com.microsoft.Word/Andrea_del_Sarto_003.jpg" \* MERGEFORMATINET </w:instrText>
      </w:r>
      <w:r w:rsidRPr="002657B1">
        <w:fldChar w:fldCharType="separate"/>
      </w:r>
      <w:r w:rsidRPr="002657B1">
        <w:rPr>
          <w:noProof/>
        </w:rPr>
        <w:drawing>
          <wp:inline distT="0" distB="0" distL="0" distR="0" wp14:anchorId="4EF897CA" wp14:editId="31E3F56D">
            <wp:extent cx="3064004" cy="3600000"/>
            <wp:effectExtent l="0" t="0" r="0" b="0"/>
            <wp:docPr id="21163842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7B1">
        <w:fldChar w:fldCharType="end"/>
      </w:r>
    </w:p>
    <w:p w:rsidR="006F0319" w:rsidRDefault="006F0319" w:rsidP="006F0319">
      <w:pPr>
        <w:rPr>
          <w:i/>
          <w:iCs/>
          <w:sz w:val="21"/>
          <w:szCs w:val="21"/>
        </w:rPr>
      </w:pPr>
      <w:r w:rsidRPr="002657B1">
        <w:rPr>
          <w:i/>
          <w:iCs/>
          <w:sz w:val="21"/>
          <w:szCs w:val="21"/>
        </w:rPr>
        <w:t xml:space="preserve">Figure </w:t>
      </w:r>
      <w:r w:rsidRPr="002657B1">
        <w:rPr>
          <w:i/>
          <w:iCs/>
          <w:sz w:val="21"/>
          <w:szCs w:val="21"/>
        </w:rPr>
        <w:fldChar w:fldCharType="begin"/>
      </w:r>
      <w:r w:rsidRPr="002657B1">
        <w:rPr>
          <w:i/>
          <w:iCs/>
          <w:sz w:val="21"/>
          <w:szCs w:val="21"/>
        </w:rPr>
        <w:instrText xml:space="preserve"> SEQ Figure \* ARABIC </w:instrText>
      </w:r>
      <w:r w:rsidRPr="002657B1">
        <w:rPr>
          <w:i/>
          <w:iCs/>
          <w:sz w:val="21"/>
          <w:szCs w:val="21"/>
        </w:rPr>
        <w:fldChar w:fldCharType="separate"/>
      </w:r>
      <w:r w:rsidRPr="002657B1">
        <w:rPr>
          <w:i/>
          <w:iCs/>
          <w:noProof/>
          <w:sz w:val="21"/>
          <w:szCs w:val="21"/>
        </w:rPr>
        <w:t>1</w:t>
      </w:r>
      <w:r w:rsidRPr="002657B1">
        <w:rPr>
          <w:i/>
          <w:iCs/>
          <w:sz w:val="21"/>
          <w:szCs w:val="21"/>
        </w:rPr>
        <w:fldChar w:fldCharType="end"/>
      </w:r>
      <w:r w:rsidRPr="002657B1">
        <w:rPr>
          <w:i/>
          <w:iCs/>
          <w:sz w:val="21"/>
          <w:szCs w:val="21"/>
        </w:rPr>
        <w:t xml:space="preserve">Madone aux Harpies, Andrea </w:t>
      </w:r>
      <w:proofErr w:type="spellStart"/>
      <w:r w:rsidRPr="002657B1">
        <w:rPr>
          <w:i/>
          <w:iCs/>
          <w:sz w:val="21"/>
          <w:szCs w:val="21"/>
        </w:rPr>
        <w:t>del</w:t>
      </w:r>
      <w:proofErr w:type="spellEnd"/>
      <w:r w:rsidRPr="002657B1">
        <w:rPr>
          <w:i/>
          <w:iCs/>
          <w:sz w:val="21"/>
          <w:szCs w:val="21"/>
        </w:rPr>
        <w:t xml:space="preserve"> Sarto, 1517, Huile sur bois, 178x207 Galerie des offices, Florence</w:t>
      </w:r>
    </w:p>
    <w:p w:rsidR="006F0319" w:rsidRDefault="006F0319" w:rsidP="006F0319"/>
    <w:p w:rsidR="006F0319" w:rsidRDefault="006F0319" w:rsidP="006F0319">
      <w:r>
        <w:t>Paul Veyne nous dit que pour Heinrich Wölfflin c’est « La plus noble madone de Florence, d’une majesté royale et consciente. »</w:t>
      </w:r>
    </w:p>
    <w:p w:rsidR="006F0319" w:rsidRDefault="006F0319" w:rsidP="006F0319">
      <w:r>
        <w:t xml:space="preserve">C’est « Pour un frère mineur de Santa Croce, alors aumônier des sœurs de Saint-François, et grand amateur de peinture, </w:t>
      </w:r>
      <w:proofErr w:type="gramStart"/>
      <w:r>
        <w:t>qu’ il</w:t>
      </w:r>
      <w:proofErr w:type="gramEnd"/>
      <w:r>
        <w:t xml:space="preserve"> fit un tableau destiné à l’église de ces religieuses</w:t>
      </w:r>
      <w:r>
        <w:rPr>
          <w:rStyle w:val="Appelnotedebasdep"/>
        </w:rPr>
        <w:footnoteReference w:id="1"/>
      </w:r>
      <w:r>
        <w:t xml:space="preserve"> Chastel précise que Vasari, en 1550 dit que le frère connaissait bien </w:t>
      </w:r>
      <w:proofErr w:type="spellStart"/>
      <w:r>
        <w:t>Adrea</w:t>
      </w:r>
      <w:proofErr w:type="spellEnd"/>
      <w:r>
        <w:t xml:space="preserve"> et qu’il obtint de lui la promesse de faire cette peinture pour un prix très petit non pour diminuer la dépense mais parce que Andrea n’en demanda pas plus. »</w:t>
      </w:r>
    </w:p>
    <w:p w:rsidR="006F0319" w:rsidRDefault="006F0319" w:rsidP="006F0319"/>
    <w:p w:rsidR="006F0319" w:rsidRDefault="006F0319" w:rsidP="006F0319">
      <w:pPr>
        <w:jc w:val="center"/>
      </w:pPr>
      <w:r w:rsidRPr="00A43346">
        <w:rPr>
          <w:noProof/>
        </w:rPr>
        <w:lastRenderedPageBreak/>
        <w:drawing>
          <wp:inline distT="0" distB="0" distL="0" distR="0" wp14:anchorId="114B36A9" wp14:editId="0D7C9FA1">
            <wp:extent cx="1612393" cy="1764000"/>
            <wp:effectExtent l="0" t="0" r="635" b="1905"/>
            <wp:docPr id="705133086" name="Image 70513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721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393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319" w:rsidRPr="002657B1" w:rsidRDefault="006F0319" w:rsidP="006F0319">
      <w:pPr>
        <w:jc w:val="center"/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Cette peinture </w:t>
      </w:r>
      <w:r w:rsidRPr="002657B1">
        <w:rPr>
          <w:rFonts w:asciiTheme="majorHAnsi" w:hAnsiTheme="majorHAnsi" w:cstheme="majorHAnsi"/>
        </w:rPr>
        <w:t xml:space="preserve">doit son nom aux petits monstres en bas </w:t>
      </w:r>
      <w:r>
        <w:rPr>
          <w:rFonts w:asciiTheme="majorHAnsi" w:hAnsiTheme="majorHAnsi" w:cstheme="majorHAnsi"/>
        </w:rPr>
        <w:t>-</w:t>
      </w:r>
      <w:r w:rsidRPr="002657B1">
        <w:rPr>
          <w:rFonts w:asciiTheme="majorHAnsi" w:hAnsiTheme="majorHAnsi" w:cstheme="majorHAnsi"/>
        </w:rPr>
        <w:t xml:space="preserve">relief, sur la base de la statue. Ce ne sont pas des harpies mais ainsi que l’a montré A. </w:t>
      </w:r>
      <w:proofErr w:type="spellStart"/>
      <w:r w:rsidRPr="002657B1">
        <w:rPr>
          <w:rFonts w:asciiTheme="majorHAnsi" w:hAnsiTheme="majorHAnsi" w:cstheme="majorHAnsi"/>
        </w:rPr>
        <w:t>Natali</w:t>
      </w:r>
      <w:proofErr w:type="spellEnd"/>
      <w:r w:rsidRPr="002657B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mais</w:t>
      </w:r>
      <w:r w:rsidRPr="002657B1">
        <w:rPr>
          <w:rFonts w:asciiTheme="majorHAnsi" w:hAnsiTheme="majorHAnsi" w:cstheme="majorHAnsi"/>
        </w:rPr>
        <w:t xml:space="preserve"> des sauterelles envoyées pour torturer les hommes avec leur dard tels des scorpions, leur douleur sera telle qu’ils souhaiteront mourir</w:t>
      </w:r>
      <w:r>
        <w:rPr>
          <w:rFonts w:asciiTheme="majorHAnsi" w:hAnsiTheme="majorHAnsi" w:cstheme="majorHAnsi"/>
        </w:rPr>
        <w:t xml:space="preserve">. </w:t>
      </w:r>
      <w:r w:rsidRPr="002657B1">
        <w:rPr>
          <w:rFonts w:asciiTheme="majorHAnsi" w:hAnsiTheme="majorHAnsi" w:cstheme="majorHAnsi"/>
        </w:rPr>
        <w:t>Et la mort sera loin d’eux.</w:t>
      </w:r>
      <w:r>
        <w:rPr>
          <w:rStyle w:val="Appelnotedebasdep"/>
          <w:rFonts w:asciiTheme="majorHAnsi" w:hAnsiTheme="majorHAnsi" w:cstheme="majorHAnsi"/>
        </w:rPr>
        <w:footnoteReference w:id="2"/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 xml:space="preserve">La vierge qui prend place sur un piédestal de forme octogonale tient d’une main un </w:t>
      </w:r>
      <w:r>
        <w:rPr>
          <w:rFonts w:asciiTheme="majorHAnsi" w:hAnsiTheme="majorHAnsi" w:cstheme="majorHAnsi"/>
        </w:rPr>
        <w:t>l</w:t>
      </w:r>
      <w:r w:rsidRPr="002657B1">
        <w:rPr>
          <w:rFonts w:asciiTheme="majorHAnsi" w:hAnsiTheme="majorHAnsi" w:cstheme="majorHAnsi"/>
        </w:rPr>
        <w:t>ivre saint et de l’autre le Bambino joyeux qui cherche à grimper sur son cou.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Elle </w:t>
      </w:r>
      <w:r w:rsidRPr="002657B1">
        <w:rPr>
          <w:rFonts w:asciiTheme="majorHAnsi" w:hAnsiTheme="majorHAnsi" w:cstheme="majorHAnsi"/>
        </w:rPr>
        <w:t>domine les personnages qui l’entourent</w:t>
      </w:r>
      <w:r>
        <w:rPr>
          <w:rFonts w:asciiTheme="majorHAnsi" w:hAnsiTheme="majorHAnsi" w:cstheme="majorHAnsi"/>
        </w:rPr>
        <w:t>. « </w:t>
      </w:r>
      <w:r w:rsidRPr="002657B1">
        <w:rPr>
          <w:rFonts w:asciiTheme="majorHAnsi" w:hAnsiTheme="majorHAnsi" w:cstheme="majorHAnsi"/>
        </w:rPr>
        <w:t>La Vierge, en figure centrale est une statue vivante mais avec des surfaces satinées et des lignes qui se dissolvent dans le jeu de la lumière, elle se pare d’une grande subtilité.</w:t>
      </w:r>
      <w:r>
        <w:rPr>
          <w:rFonts w:asciiTheme="majorHAnsi" w:hAnsiTheme="majorHAnsi" w:cstheme="majorHAnsi"/>
        </w:rPr>
        <w:t> »</w:t>
      </w:r>
      <w:r>
        <w:rPr>
          <w:rStyle w:val="Appelnotedebasdep"/>
          <w:rFonts w:asciiTheme="majorHAnsi" w:hAnsiTheme="majorHAnsi" w:cstheme="majorHAnsi"/>
        </w:rPr>
        <w:footnoteReference w:id="3"/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jc w:val="center"/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fldChar w:fldCharType="begin"/>
      </w:r>
      <w:r w:rsidRPr="002657B1">
        <w:rPr>
          <w:rFonts w:asciiTheme="majorHAnsi" w:hAnsiTheme="majorHAnsi" w:cstheme="majorHAnsi"/>
        </w:rPr>
        <w:instrText xml:space="preserve"> INCLUDEPICTURE "/Users/jacquesrives/Library/Group Containers/UBF8T346G9.ms/WebArchiveCopyPasteTempFiles/com.microsoft.Word/Andrea_del_Sarto_003.jpg" \* MERGEFORMATINET </w:instrText>
      </w:r>
      <w:r w:rsidRPr="002657B1">
        <w:rPr>
          <w:rFonts w:asciiTheme="majorHAnsi" w:hAnsiTheme="majorHAnsi" w:cstheme="majorHAnsi"/>
        </w:rPr>
        <w:fldChar w:fldCharType="separate"/>
      </w:r>
      <w:r w:rsidRPr="002657B1">
        <w:rPr>
          <w:rFonts w:asciiTheme="majorHAnsi" w:hAnsiTheme="majorHAnsi" w:cstheme="majorHAnsi"/>
          <w:noProof/>
        </w:rPr>
        <w:drawing>
          <wp:inline distT="0" distB="0" distL="0" distR="0" wp14:anchorId="010499BE" wp14:editId="288AAE9E">
            <wp:extent cx="1677012" cy="1692000"/>
            <wp:effectExtent l="0" t="0" r="0" b="0"/>
            <wp:docPr id="2044141054" name="Image 204414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0" t="601" r="23480" b="52608"/>
                    <a:stretch/>
                  </pic:blipFill>
                  <pic:spPr bwMode="auto">
                    <a:xfrm>
                      <a:off x="0" y="0"/>
                      <a:ext cx="1677012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7B1">
        <w:rPr>
          <w:rFonts w:asciiTheme="majorHAnsi" w:hAnsiTheme="majorHAnsi" w:cstheme="majorHAnsi"/>
        </w:rPr>
        <w:fldChar w:fldCharType="end"/>
      </w:r>
    </w:p>
    <w:p w:rsidR="006F0319" w:rsidRPr="002657B1" w:rsidRDefault="006F0319" w:rsidP="006F0319">
      <w:pPr>
        <w:jc w:val="center"/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Elle est entourée à gauche de saint Joseph</w:t>
      </w:r>
      <w:r>
        <w:rPr>
          <w:rFonts w:asciiTheme="majorHAnsi" w:hAnsiTheme="majorHAnsi" w:cstheme="majorHAnsi"/>
        </w:rPr>
        <w:t xml:space="preserve"> qui tient un crucifix</w:t>
      </w:r>
      <w:r w:rsidRPr="002657B1">
        <w:rPr>
          <w:rFonts w:asciiTheme="majorHAnsi" w:hAnsiTheme="majorHAnsi" w:cstheme="majorHAnsi"/>
        </w:rPr>
        <w:t xml:space="preserve"> et à droite de Saint Jean, l’auteur du célèbre quatrième évangile et de l’Apocalypse citée plus haut</w:t>
      </w:r>
      <w:r>
        <w:rPr>
          <w:rFonts w:asciiTheme="majorHAnsi" w:hAnsiTheme="majorHAnsi" w:cstheme="majorHAnsi"/>
        </w:rPr>
        <w:t xml:space="preserve"> qui tient un livre.</w:t>
      </w:r>
      <w:r w:rsidRPr="002657B1">
        <w:rPr>
          <w:rFonts w:asciiTheme="majorHAnsi" w:hAnsiTheme="majorHAnsi" w:cstheme="majorHAnsi"/>
        </w:rPr>
        <w:t xml:space="preserve"> Les deux saints sont dans des poses complémentaires, vêtus de draperies plus sobres que celles de la Madone. La couleur est ici utilisée pour créer une asymétrie raffinée et participe à la structure du tableau.</w:t>
      </w:r>
    </w:p>
    <w:p w:rsidR="006F0319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 xml:space="preserve">Deux enfants baisent les pieds de la vierge. 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Burckhardt dans son Cicérone écrit « qu’Andrea est le plus grand coloriste qu’ait vu naître au XVI° siècle, la région méridionale de l’Apennin. Le premier, parmi les Florentins, il a atteint une gamme harmonieuse et sûre, une transparence profonde et lumineuse des couleurs. Le premier aussi il a accordé à la couleur une influence égale, dominante même, par rapport à la composition du tableau. »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lastRenderedPageBreak/>
        <w:t xml:space="preserve">André Chastel dit « Qu’Andrea </w:t>
      </w:r>
      <w:proofErr w:type="spellStart"/>
      <w:r w:rsidRPr="002657B1">
        <w:rPr>
          <w:rFonts w:asciiTheme="majorHAnsi" w:hAnsiTheme="majorHAnsi" w:cstheme="majorHAnsi"/>
        </w:rPr>
        <w:t>del</w:t>
      </w:r>
      <w:proofErr w:type="spellEnd"/>
      <w:r w:rsidRPr="002657B1">
        <w:rPr>
          <w:rFonts w:asciiTheme="majorHAnsi" w:hAnsiTheme="majorHAnsi" w:cstheme="majorHAnsi"/>
        </w:rPr>
        <w:t xml:space="preserve"> Sarto s’exprime à l’ombre de Léonard et de Raphaël, dans une sorte de passivité rêveuse, la version florentine du style classique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(.</w:t>
      </w:r>
      <w:r w:rsidRPr="002657B1">
        <w:rPr>
          <w:rFonts w:asciiTheme="majorHAnsi" w:hAnsiTheme="majorHAnsi" w:cstheme="majorHAnsi"/>
        </w:rPr>
        <w:t>...</w:t>
      </w:r>
      <w:proofErr w:type="gramEnd"/>
      <w:r w:rsidRPr="002657B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) </w:t>
      </w:r>
      <w:r w:rsidRPr="002657B1">
        <w:rPr>
          <w:rFonts w:asciiTheme="majorHAnsi" w:hAnsiTheme="majorHAnsi" w:cstheme="majorHAnsi"/>
        </w:rPr>
        <w:t>c’est un chef d’œuvre de dosage exact, de calme équilibre, mais avec le trouble d’une irrépressible mélancolie</w:t>
      </w:r>
      <w:r>
        <w:rPr>
          <w:rStyle w:val="Appelnotedebasdep"/>
          <w:rFonts w:asciiTheme="majorHAnsi" w:hAnsiTheme="majorHAnsi" w:cstheme="majorHAnsi"/>
        </w:rPr>
        <w:footnoteReference w:id="4"/>
      </w:r>
      <w:r w:rsidRPr="002657B1">
        <w:rPr>
          <w:rFonts w:asciiTheme="majorHAnsi" w:hAnsiTheme="majorHAnsi" w:cstheme="majorHAnsi"/>
        </w:rPr>
        <w:t>. Pour Wölfflin c’est la plus noble Madone de Florence d’une majesté royale et consciente. Berenson trouve l’œuvre admirable mais regrette l’emphase théâtrale de la vierge et l’abondance d’inutiles draperie</w:t>
      </w:r>
      <w:r>
        <w:rPr>
          <w:rFonts w:asciiTheme="majorHAnsi" w:hAnsiTheme="majorHAnsi" w:cstheme="majorHAnsi"/>
        </w:rPr>
        <w:t>s</w:t>
      </w:r>
      <w:r>
        <w:rPr>
          <w:rStyle w:val="Appelnotedebasdep"/>
          <w:rFonts w:asciiTheme="majorHAnsi" w:hAnsiTheme="majorHAnsi" w:cstheme="majorHAnsi"/>
        </w:rPr>
        <w:footnoteReference w:id="5"/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 xml:space="preserve">L’air mélancolique des trois saintes personnes rappelle que nous sommes des pêcheurs et que nous vivons loin de Dieu et de la félicité céleste. </w:t>
      </w:r>
      <w:proofErr w:type="spellStart"/>
      <w:r w:rsidRPr="002657B1">
        <w:rPr>
          <w:rFonts w:asciiTheme="majorHAnsi" w:hAnsiTheme="majorHAnsi" w:cstheme="majorHAnsi"/>
        </w:rPr>
        <w:t>Peut être</w:t>
      </w:r>
      <w:proofErr w:type="spellEnd"/>
      <w:r w:rsidRPr="002657B1">
        <w:rPr>
          <w:rFonts w:asciiTheme="majorHAnsi" w:hAnsiTheme="majorHAnsi" w:cstheme="majorHAnsi"/>
        </w:rPr>
        <w:t xml:space="preserve"> qu’Andrea a voulu plaire à un commanditaire dont la piété avait une nuance pénitente</w:t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« Parfois inerte au premier coup d’œil, le classicisme de cette toile ne cesse plus de satisfaire le regard .C‘est peut-être le chef d’œuvre du maître, réussite achevée d’un art savant et d’un coloris chaleureux. »</w:t>
      </w:r>
      <w:r>
        <w:rPr>
          <w:rStyle w:val="Appelnotedebasdep"/>
          <w:rFonts w:asciiTheme="majorHAnsi" w:hAnsiTheme="majorHAnsi" w:cstheme="majorHAnsi"/>
        </w:rPr>
        <w:footnoteReference w:id="6"/>
      </w: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</w:p>
    <w:p w:rsidR="006F0319" w:rsidRPr="002657B1" w:rsidRDefault="006F0319" w:rsidP="006F0319">
      <w:pPr>
        <w:rPr>
          <w:rFonts w:asciiTheme="majorHAnsi" w:hAnsiTheme="majorHAnsi" w:cstheme="majorHAnsi"/>
        </w:rPr>
      </w:pPr>
      <w:r w:rsidRPr="002657B1">
        <w:rPr>
          <w:rFonts w:asciiTheme="majorHAnsi" w:hAnsiTheme="majorHAnsi" w:cstheme="majorHAnsi"/>
        </w:rPr>
        <w:t>B</w:t>
      </w:r>
    </w:p>
    <w:p w:rsidR="00FF581F" w:rsidRDefault="00FF581F"/>
    <w:sectPr w:rsidR="00FF581F" w:rsidSect="00440753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4771" w:rsidRDefault="00044771" w:rsidP="006F0319">
      <w:r>
        <w:separator/>
      </w:r>
    </w:p>
  </w:endnote>
  <w:endnote w:type="continuationSeparator" w:id="0">
    <w:p w:rsidR="00044771" w:rsidRDefault="00044771" w:rsidP="006F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4771" w:rsidRDefault="00044771" w:rsidP="006F0319">
      <w:r>
        <w:separator/>
      </w:r>
    </w:p>
  </w:footnote>
  <w:footnote w:type="continuationSeparator" w:id="0">
    <w:p w:rsidR="00044771" w:rsidRDefault="00044771" w:rsidP="006F0319">
      <w:r>
        <w:continuationSeparator/>
      </w:r>
    </w:p>
  </w:footnote>
  <w:footnote w:id="1">
    <w:p w:rsidR="006F0319" w:rsidRPr="005D1696" w:rsidRDefault="006F0319" w:rsidP="006F0319">
      <w:pPr>
        <w:rPr>
          <w:rFonts w:asciiTheme="majorHAnsi" w:hAnsiTheme="majorHAnsi" w:cstheme="majorHAnsi"/>
          <w:sz w:val="21"/>
          <w:szCs w:val="21"/>
        </w:rPr>
      </w:pPr>
      <w:r>
        <w:rPr>
          <w:rStyle w:val="Appelnotedebasdep"/>
        </w:rPr>
        <w:footnoteRef/>
      </w:r>
      <w:r>
        <w:t xml:space="preserve"> </w:t>
      </w:r>
      <w:r w:rsidRPr="005D1696">
        <w:rPr>
          <w:rFonts w:asciiTheme="majorHAnsi" w:hAnsiTheme="majorHAnsi" w:cstheme="majorHAnsi"/>
          <w:sz w:val="21"/>
          <w:szCs w:val="21"/>
        </w:rPr>
        <w:t xml:space="preserve">VASARI Giorgio, </w:t>
      </w:r>
      <w:r w:rsidRPr="005D1696">
        <w:rPr>
          <w:rFonts w:asciiTheme="majorHAnsi" w:hAnsiTheme="majorHAnsi" w:cstheme="majorHAnsi"/>
          <w:i/>
          <w:sz w:val="21"/>
          <w:szCs w:val="21"/>
        </w:rPr>
        <w:t>Le vies des meilleurs peintres sculpteurs et architectes</w:t>
      </w:r>
      <w:r w:rsidRPr="005D1696">
        <w:rPr>
          <w:rFonts w:asciiTheme="majorHAnsi" w:hAnsiTheme="majorHAnsi" w:cstheme="majorHAnsi"/>
          <w:sz w:val="21"/>
          <w:szCs w:val="21"/>
        </w:rPr>
        <w:t xml:space="preserve">, Traduction et édition commentée sous la direction d’André Chastel </w:t>
      </w:r>
      <w:proofErr w:type="spellStart"/>
      <w:proofErr w:type="gramStart"/>
      <w:r w:rsidRPr="005D1696">
        <w:rPr>
          <w:rFonts w:asciiTheme="majorHAnsi" w:hAnsiTheme="majorHAnsi" w:cstheme="majorHAnsi"/>
          <w:sz w:val="21"/>
          <w:szCs w:val="21"/>
        </w:rPr>
        <w:t>Thesorus</w:t>
      </w:r>
      <w:proofErr w:type="spellEnd"/>
      <w:r w:rsidRPr="005D1696">
        <w:rPr>
          <w:rFonts w:asciiTheme="majorHAnsi" w:hAnsiTheme="majorHAnsi" w:cstheme="majorHAnsi"/>
          <w:sz w:val="21"/>
          <w:szCs w:val="21"/>
        </w:rPr>
        <w:t xml:space="preserve"> </w:t>
      </w:r>
      <w:r>
        <w:rPr>
          <w:rFonts w:asciiTheme="majorHAnsi" w:hAnsiTheme="majorHAnsi" w:cstheme="majorHAnsi"/>
          <w:sz w:val="21"/>
          <w:szCs w:val="21"/>
        </w:rPr>
        <w:t>,</w:t>
      </w:r>
      <w:proofErr w:type="gramEnd"/>
      <w:r w:rsidRPr="005D1696">
        <w:rPr>
          <w:rFonts w:asciiTheme="majorHAnsi" w:hAnsiTheme="majorHAnsi" w:cstheme="majorHAnsi"/>
          <w:sz w:val="21"/>
          <w:szCs w:val="21"/>
        </w:rPr>
        <w:t xml:space="preserve"> actes Sud 2005, 2 vol  in 8 voir tome II livre VI          p 66</w:t>
      </w:r>
    </w:p>
  </w:footnote>
  <w:footnote w:id="2">
    <w:p w:rsidR="006F0319" w:rsidRPr="005D1696" w:rsidRDefault="006F0319" w:rsidP="006F0319">
      <w:pPr>
        <w:rPr>
          <w:rFonts w:asciiTheme="majorHAnsi" w:hAnsiTheme="majorHAnsi" w:cstheme="majorHAnsi"/>
          <w:sz w:val="21"/>
          <w:szCs w:val="21"/>
        </w:rPr>
      </w:pPr>
      <w:r w:rsidRPr="005D1696">
        <w:rPr>
          <w:rStyle w:val="Appelnotedebasdep"/>
          <w:rFonts w:asciiTheme="majorHAnsi" w:hAnsiTheme="majorHAnsi" w:cstheme="majorHAnsi"/>
          <w:sz w:val="21"/>
          <w:szCs w:val="21"/>
        </w:rPr>
        <w:footnoteRef/>
      </w:r>
      <w:r w:rsidRPr="005D1696">
        <w:rPr>
          <w:rFonts w:asciiTheme="majorHAnsi" w:hAnsiTheme="majorHAnsi" w:cstheme="majorHAnsi"/>
          <w:sz w:val="21"/>
          <w:szCs w:val="21"/>
        </w:rPr>
        <w:t xml:space="preserve"> Bible </w:t>
      </w:r>
      <w:proofErr w:type="spellStart"/>
      <w:r w:rsidRPr="005D1696">
        <w:rPr>
          <w:rFonts w:asciiTheme="majorHAnsi" w:hAnsiTheme="majorHAnsi" w:cstheme="majorHAnsi"/>
          <w:sz w:val="21"/>
          <w:szCs w:val="21"/>
        </w:rPr>
        <w:t>Osty</w:t>
      </w:r>
      <w:proofErr w:type="spellEnd"/>
      <w:r w:rsidRPr="005D1696">
        <w:rPr>
          <w:rFonts w:asciiTheme="majorHAnsi" w:hAnsiTheme="majorHAnsi" w:cstheme="majorHAnsi"/>
          <w:sz w:val="21"/>
          <w:szCs w:val="21"/>
        </w:rPr>
        <w:t xml:space="preserve"> (Apocalypse de Jean IX – p 2566)</w:t>
      </w:r>
    </w:p>
  </w:footnote>
  <w:footnote w:id="3">
    <w:p w:rsidR="006F0319" w:rsidRPr="001B3819" w:rsidRDefault="006F0319" w:rsidP="006F0319">
      <w:pPr>
        <w:rPr>
          <w:rFonts w:asciiTheme="majorHAnsi" w:hAnsiTheme="majorHAnsi" w:cstheme="majorHAnsi"/>
          <w:sz w:val="21"/>
          <w:szCs w:val="21"/>
          <w:lang w:val="en-US"/>
        </w:rPr>
      </w:pPr>
      <w:r>
        <w:rPr>
          <w:rStyle w:val="Appelnotedebasdep"/>
        </w:rPr>
        <w:footnoteRef/>
      </w:r>
      <w:r w:rsidRPr="001B3819">
        <w:rPr>
          <w:lang w:val="en-US"/>
        </w:rPr>
        <w:t xml:space="preserve"> </w:t>
      </w:r>
      <w:proofErr w:type="gramStart"/>
      <w:r w:rsidRPr="001B3819">
        <w:rPr>
          <w:rFonts w:asciiTheme="majorHAnsi" w:hAnsiTheme="majorHAnsi" w:cstheme="majorHAnsi"/>
          <w:sz w:val="21"/>
          <w:szCs w:val="21"/>
          <w:lang w:val="en-US"/>
        </w:rPr>
        <w:t>T</w:t>
      </w:r>
      <w:r>
        <w:rPr>
          <w:rFonts w:asciiTheme="majorHAnsi" w:hAnsiTheme="majorHAnsi" w:cstheme="majorHAnsi"/>
          <w:sz w:val="21"/>
          <w:szCs w:val="21"/>
          <w:lang w:val="en-US"/>
        </w:rPr>
        <w:t>URNER</w:t>
      </w:r>
      <w:r w:rsidRPr="001B3819">
        <w:rPr>
          <w:rFonts w:asciiTheme="majorHAnsi" w:hAnsiTheme="majorHAnsi" w:cstheme="majorHAnsi"/>
          <w:sz w:val="21"/>
          <w:szCs w:val="21"/>
          <w:lang w:val="en-US"/>
        </w:rPr>
        <w:t xml:space="preserve"> ,</w:t>
      </w:r>
      <w:proofErr w:type="gramEnd"/>
      <w:r w:rsidRPr="001B3819">
        <w:rPr>
          <w:rFonts w:asciiTheme="majorHAnsi" w:hAnsiTheme="majorHAnsi" w:cstheme="majorHAnsi"/>
          <w:sz w:val="21"/>
          <w:szCs w:val="21"/>
          <w:lang w:val="en-US"/>
        </w:rPr>
        <w:t xml:space="preserve"> in ANDRES Glenn M ;, HUNISAK John M, TURNER </w:t>
      </w:r>
      <w:proofErr w:type="spellStart"/>
      <w:r w:rsidRPr="001B3819">
        <w:rPr>
          <w:rFonts w:asciiTheme="majorHAnsi" w:hAnsiTheme="majorHAnsi" w:cstheme="majorHAnsi"/>
          <w:sz w:val="21"/>
          <w:szCs w:val="21"/>
          <w:lang w:val="en-US"/>
        </w:rPr>
        <w:t>A.Richard</w:t>
      </w:r>
      <w:proofErr w:type="spellEnd"/>
      <w:r w:rsidRPr="001B3819">
        <w:rPr>
          <w:rFonts w:asciiTheme="majorHAnsi" w:hAnsiTheme="majorHAnsi" w:cstheme="majorHAnsi"/>
          <w:sz w:val="21"/>
          <w:szCs w:val="21"/>
          <w:lang w:val="en-US"/>
        </w:rPr>
        <w:t xml:space="preserve"> , </w:t>
      </w:r>
      <w:proofErr w:type="spellStart"/>
      <w:r w:rsidRPr="001B3819">
        <w:rPr>
          <w:rFonts w:asciiTheme="majorHAnsi" w:hAnsiTheme="majorHAnsi" w:cstheme="majorHAnsi"/>
          <w:i/>
          <w:sz w:val="21"/>
          <w:szCs w:val="21"/>
          <w:lang w:val="en-US"/>
        </w:rPr>
        <w:t>L’Art</w:t>
      </w:r>
      <w:proofErr w:type="spellEnd"/>
      <w:r w:rsidRPr="001B3819">
        <w:rPr>
          <w:rFonts w:asciiTheme="majorHAnsi" w:hAnsiTheme="majorHAnsi" w:cstheme="majorHAnsi"/>
          <w:i/>
          <w:sz w:val="21"/>
          <w:szCs w:val="21"/>
          <w:lang w:val="en-US"/>
        </w:rPr>
        <w:t xml:space="preserve"> de Florence</w:t>
      </w:r>
      <w:r w:rsidRPr="001B3819">
        <w:rPr>
          <w:rFonts w:asciiTheme="majorHAnsi" w:hAnsiTheme="majorHAnsi" w:cstheme="majorHAnsi"/>
          <w:sz w:val="21"/>
          <w:szCs w:val="21"/>
          <w:lang w:val="en-US"/>
        </w:rPr>
        <w:t xml:space="preserve">, </w:t>
      </w:r>
      <w:proofErr w:type="spellStart"/>
      <w:r w:rsidRPr="001B3819">
        <w:rPr>
          <w:rFonts w:asciiTheme="majorHAnsi" w:hAnsiTheme="majorHAnsi" w:cstheme="majorHAnsi"/>
          <w:sz w:val="21"/>
          <w:szCs w:val="21"/>
          <w:lang w:val="en-US"/>
        </w:rPr>
        <w:t>Bordas</w:t>
      </w:r>
      <w:proofErr w:type="spellEnd"/>
      <w:r w:rsidRPr="001B3819">
        <w:rPr>
          <w:rFonts w:asciiTheme="majorHAnsi" w:hAnsiTheme="majorHAnsi" w:cstheme="majorHAnsi"/>
          <w:sz w:val="21"/>
          <w:szCs w:val="21"/>
          <w:lang w:val="en-US"/>
        </w:rPr>
        <w:t xml:space="preserve"> 1989, 2 vol in folio</w:t>
      </w:r>
    </w:p>
    <w:p w:rsidR="006F0319" w:rsidRPr="001B3819" w:rsidRDefault="006F0319" w:rsidP="006F0319">
      <w:pPr>
        <w:pStyle w:val="Notedebasdepage"/>
        <w:rPr>
          <w:rFonts w:asciiTheme="majorHAnsi" w:hAnsiTheme="majorHAnsi" w:cstheme="majorHAnsi"/>
          <w:sz w:val="21"/>
          <w:szCs w:val="21"/>
          <w:lang w:val="en-US"/>
        </w:rPr>
      </w:pPr>
    </w:p>
  </w:footnote>
  <w:footnote w:id="4">
    <w:p w:rsidR="006F0319" w:rsidRPr="0000346B" w:rsidRDefault="006F0319" w:rsidP="006F0319">
      <w:pPr>
        <w:rPr>
          <w:rFonts w:asciiTheme="majorHAnsi" w:hAnsiTheme="majorHAnsi" w:cstheme="majorHAnsi"/>
          <w:sz w:val="21"/>
          <w:szCs w:val="21"/>
        </w:rPr>
      </w:pPr>
      <w:r>
        <w:rPr>
          <w:rStyle w:val="Appelnotedebasdep"/>
        </w:rPr>
        <w:footnoteRef/>
      </w:r>
      <w:r>
        <w:t xml:space="preserve"> </w:t>
      </w:r>
      <w:r w:rsidRPr="0000346B">
        <w:rPr>
          <w:rFonts w:asciiTheme="majorHAnsi" w:hAnsiTheme="majorHAnsi" w:cstheme="majorHAnsi"/>
          <w:sz w:val="21"/>
          <w:szCs w:val="21"/>
        </w:rPr>
        <w:t>Chastel. Les Arts d’Italie T2 p 39 PUF 1963</w:t>
      </w:r>
    </w:p>
  </w:footnote>
  <w:footnote w:id="5">
    <w:p w:rsidR="006F0319" w:rsidRPr="0000346B" w:rsidRDefault="006F0319" w:rsidP="006F0319">
      <w:pPr>
        <w:rPr>
          <w:rFonts w:asciiTheme="majorHAnsi" w:hAnsiTheme="majorHAnsi" w:cstheme="majorHAnsi"/>
          <w:sz w:val="21"/>
          <w:szCs w:val="21"/>
        </w:rPr>
      </w:pPr>
      <w:r w:rsidRPr="0000346B">
        <w:rPr>
          <w:rStyle w:val="Appelnotedebasdep"/>
          <w:rFonts w:asciiTheme="majorHAnsi" w:hAnsiTheme="majorHAnsi" w:cstheme="majorHAnsi"/>
          <w:sz w:val="21"/>
          <w:szCs w:val="21"/>
        </w:rPr>
        <w:footnoteRef/>
      </w:r>
      <w:r w:rsidRPr="0000346B">
        <w:rPr>
          <w:rFonts w:asciiTheme="majorHAnsi" w:hAnsiTheme="majorHAnsi" w:cstheme="majorHAnsi"/>
          <w:sz w:val="21"/>
          <w:szCs w:val="21"/>
        </w:rPr>
        <w:t xml:space="preserve"> Berenson.  Peintres italiens de la Renaissancep138-</w:t>
      </w:r>
      <w:proofErr w:type="gramStart"/>
      <w:r w:rsidRPr="0000346B">
        <w:rPr>
          <w:rFonts w:asciiTheme="majorHAnsi" w:hAnsiTheme="majorHAnsi" w:cstheme="majorHAnsi"/>
          <w:sz w:val="21"/>
          <w:szCs w:val="21"/>
        </w:rPr>
        <w:t>139  Gallimard</w:t>
      </w:r>
      <w:proofErr w:type="gramEnd"/>
      <w:r w:rsidRPr="0000346B">
        <w:rPr>
          <w:rFonts w:asciiTheme="majorHAnsi" w:hAnsiTheme="majorHAnsi" w:cstheme="majorHAnsi"/>
          <w:sz w:val="21"/>
          <w:szCs w:val="21"/>
        </w:rPr>
        <w:t>1935</w:t>
      </w:r>
    </w:p>
  </w:footnote>
  <w:footnote w:id="6">
    <w:p w:rsidR="006F0319" w:rsidRPr="0000346B" w:rsidRDefault="006F0319" w:rsidP="006F0319">
      <w:pPr>
        <w:rPr>
          <w:rFonts w:asciiTheme="majorHAnsi" w:hAnsiTheme="majorHAnsi" w:cstheme="majorHAnsi"/>
          <w:sz w:val="21"/>
          <w:szCs w:val="21"/>
        </w:rPr>
      </w:pPr>
      <w:r w:rsidRPr="0000346B">
        <w:rPr>
          <w:rStyle w:val="Appelnotedebasdep"/>
          <w:rFonts w:asciiTheme="majorHAnsi" w:hAnsiTheme="majorHAnsi" w:cstheme="majorHAnsi"/>
          <w:sz w:val="21"/>
          <w:szCs w:val="21"/>
        </w:rPr>
        <w:footnoteRef/>
      </w:r>
      <w:r w:rsidRPr="0000346B">
        <w:rPr>
          <w:rFonts w:asciiTheme="majorHAnsi" w:hAnsiTheme="majorHAnsi" w:cstheme="majorHAnsi"/>
          <w:sz w:val="21"/>
          <w:szCs w:val="21"/>
        </w:rPr>
        <w:t xml:space="preserve">Veyne.  Mon musée imaginaire p 279 Albin </w:t>
      </w:r>
      <w:proofErr w:type="gramStart"/>
      <w:r w:rsidRPr="0000346B">
        <w:rPr>
          <w:rFonts w:asciiTheme="majorHAnsi" w:hAnsiTheme="majorHAnsi" w:cstheme="majorHAnsi"/>
          <w:sz w:val="21"/>
          <w:szCs w:val="21"/>
        </w:rPr>
        <w:t>Michel  2010</w:t>
      </w:r>
      <w:proofErr w:type="gramEnd"/>
    </w:p>
    <w:p w:rsidR="006F0319" w:rsidRPr="0000346B" w:rsidRDefault="006F0319" w:rsidP="006F0319">
      <w:pPr>
        <w:pStyle w:val="Notedebasdepage"/>
        <w:rPr>
          <w:rFonts w:asciiTheme="majorHAnsi" w:hAnsiTheme="majorHAnsi" w:cstheme="majorHAnsi"/>
          <w:sz w:val="21"/>
          <w:szCs w:val="21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19"/>
    <w:rsid w:val="00044771"/>
    <w:rsid w:val="006F0319"/>
    <w:rsid w:val="00CF60DA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66FC09"/>
  <w15:chartTrackingRefBased/>
  <w15:docId w15:val="{766F684C-FBA4-6A44-BB03-EBBCD73E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319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F031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F0319"/>
    <w:rPr>
      <w:kern w:val="0"/>
      <w:sz w:val="20"/>
      <w:szCs w:val="20"/>
      <w14:ligatures w14:val="none"/>
    </w:rPr>
  </w:style>
  <w:style w:type="character" w:styleId="Appelnotedebasdep">
    <w:name w:val="footnote reference"/>
    <w:basedOn w:val="Policepardfaut"/>
    <w:uiPriority w:val="99"/>
    <w:semiHidden/>
    <w:unhideWhenUsed/>
    <w:rsid w:val="006F03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560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rives</dc:creator>
  <cp:keywords/>
  <dc:description/>
  <cp:lastModifiedBy>jacques rives</cp:lastModifiedBy>
  <cp:revision>1</cp:revision>
  <dcterms:created xsi:type="dcterms:W3CDTF">2023-11-15T11:29:00Z</dcterms:created>
  <dcterms:modified xsi:type="dcterms:W3CDTF">2023-11-15T11:32:00Z</dcterms:modified>
</cp:coreProperties>
</file>