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F581F" w:rsidRDefault="003C7D93" w:rsidP="003C7D93">
      <w:pPr>
        <w:jc w:val="center"/>
      </w:pPr>
      <w:r>
        <w:t>Falconet, Pygmalion et Galatée</w:t>
      </w:r>
    </w:p>
    <w:p w:rsidR="003C7D93" w:rsidRDefault="003C7D93" w:rsidP="003C7D93">
      <w:pPr>
        <w:jc w:val="center"/>
      </w:pPr>
    </w:p>
    <w:p w:rsidR="003C7D93" w:rsidRDefault="003C7D93" w:rsidP="003C7D93">
      <w:pPr>
        <w:jc w:val="center"/>
      </w:pPr>
      <w:r w:rsidRPr="00767D62">
        <w:rPr>
          <w:noProof/>
        </w:rPr>
        <w:drawing>
          <wp:inline distT="0" distB="0" distL="0" distR="0" wp14:anchorId="68681537" wp14:editId="7C02BB37">
            <wp:extent cx="3192670" cy="3816000"/>
            <wp:effectExtent l="0" t="0" r="0" b="0"/>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92670" cy="3816000"/>
                    </a:xfrm>
                    <a:prstGeom prst="rect">
                      <a:avLst/>
                    </a:prstGeom>
                  </pic:spPr>
                </pic:pic>
              </a:graphicData>
            </a:graphic>
          </wp:inline>
        </w:drawing>
      </w:r>
    </w:p>
    <w:p w:rsidR="003C7D93" w:rsidRDefault="003C7D93" w:rsidP="003C7D93">
      <w:pPr>
        <w:jc w:val="center"/>
      </w:pPr>
    </w:p>
    <w:p w:rsidR="003C7D93" w:rsidRDefault="003C7D93" w:rsidP="003C7D93">
      <w:pPr>
        <w:jc w:val="center"/>
      </w:pPr>
      <w:r>
        <w:t>Etienne Maurice Falconet, Pygmalion et Galatée, 1761, marbre 83,5 cm Louvre</w:t>
      </w:r>
    </w:p>
    <w:p w:rsidR="003C7D93" w:rsidRDefault="003C7D93" w:rsidP="003C7D93">
      <w:pPr>
        <w:jc w:val="center"/>
      </w:pPr>
    </w:p>
    <w:p w:rsidR="003C7D93" w:rsidRDefault="003C7D93" w:rsidP="003C7D93">
      <w:r>
        <w:t>Ô la précieuse chose que ce petit groupe de Falconet ! s’extasie Diderot. Falconet s’est attaqué au thème tiré des Métamorphoses d’Ovide, de la statue qui s’anime et qui devient chair sous les yeux de son créateur.</w:t>
      </w:r>
    </w:p>
    <w:p w:rsidR="003C7D93" w:rsidRDefault="003C7D93" w:rsidP="003C7D93">
      <w:r>
        <w:t>« Pygmalion fut témoin de leur vie de débauche,</w:t>
      </w:r>
    </w:p>
    <w:p w:rsidR="003C7D93" w:rsidRDefault="003C7D93" w:rsidP="003C7D93">
      <w:r>
        <w:t>Et s’indigna du vice au cœur des femmes mis</w:t>
      </w:r>
    </w:p>
    <w:p w:rsidR="003C7D93" w:rsidRDefault="003C7D93" w:rsidP="003C7D93">
      <w:r>
        <w:t>Par la nature. Il vivait en célibataire.</w:t>
      </w:r>
    </w:p>
    <w:p w:rsidR="003C7D93" w:rsidRDefault="003C7D93" w:rsidP="003C7D93">
      <w:r>
        <w:t xml:space="preserve">Nulle épouse longtemps ne partagea sa couche. </w:t>
      </w:r>
    </w:p>
    <w:p w:rsidR="003C7D93" w:rsidRDefault="003C7D93" w:rsidP="003C7D93">
      <w:r>
        <w:t>Merveilleux artisan, d’un ivoire de neige</w:t>
      </w:r>
    </w:p>
    <w:p w:rsidR="003C7D93" w:rsidRDefault="003C7D93" w:rsidP="003C7D93">
      <w:r>
        <w:t>Il sculpte un corps si beau qu’oncques femmes en naissant</w:t>
      </w:r>
    </w:p>
    <w:p w:rsidR="003C7D93" w:rsidRDefault="003C7D93" w:rsidP="003C7D93">
      <w:r>
        <w:t>N’en reçus de pareil, puis en tombe amoureux.</w:t>
      </w:r>
    </w:p>
    <w:p w:rsidR="003C7D93" w:rsidRDefault="003C7D93" w:rsidP="003C7D93">
      <w:r>
        <w:t>Vraie figure de vierge, elle semblait vivante</w:t>
      </w:r>
    </w:p>
    <w:p w:rsidR="003C7D93" w:rsidRDefault="003C7D93" w:rsidP="003C7D93">
      <w:r>
        <w:t>Et prête à se mouvoir, n’eut été sa réserve,</w:t>
      </w:r>
    </w:p>
    <w:p w:rsidR="003C7D93" w:rsidRDefault="003C7D93" w:rsidP="003C7D93">
      <w:r>
        <w:t>Tant l’art se cache à force d’art. Émerveillé,</w:t>
      </w:r>
    </w:p>
    <w:p w:rsidR="003C7D93" w:rsidRDefault="003C7D93" w:rsidP="003C7D93">
      <w:r>
        <w:t>Il s’enflamme le cœur pour ce semblant de corps,</w:t>
      </w:r>
    </w:p>
    <w:p w:rsidR="003C7D93" w:rsidRDefault="003C7D93" w:rsidP="003C7D93">
      <w:r>
        <w:t>Souvent s’approche, y met la main pour s’assurer</w:t>
      </w:r>
    </w:p>
    <w:p w:rsidR="003C7D93" w:rsidRDefault="003C7D93" w:rsidP="003C7D93">
      <w:r>
        <w:t>S’il est d’ivoire ou de chair, ne veut le croire ivoire</w:t>
      </w:r>
    </w:p>
    <w:p w:rsidR="003C7D93" w:rsidRDefault="003C7D93" w:rsidP="003C7D93">
      <w:r>
        <w:t>Donne et croit recevoir des baisers, parle, étreint,</w:t>
      </w:r>
    </w:p>
    <w:p w:rsidR="003C7D93" w:rsidRDefault="003C7D93" w:rsidP="003C7D93">
      <w:r>
        <w:t>Croit que cède la chair au contact de ses doigts</w:t>
      </w:r>
    </w:p>
    <w:p w:rsidR="003C7D93" w:rsidRDefault="003C7D93" w:rsidP="003C7D93">
      <w:r>
        <w:t>Craint d’imprimer des bleus sur les membres qu’il serre,</w:t>
      </w:r>
    </w:p>
    <w:p w:rsidR="003C7D93" w:rsidRDefault="003C7D93" w:rsidP="003C7D93">
      <w:r>
        <w:t>Caresse son aimée, lui offre des cadeaux.</w:t>
      </w:r>
    </w:p>
    <w:p w:rsidR="003C7D93" w:rsidRDefault="003C7D93" w:rsidP="003C7D93">
      <w:r>
        <w:t>(À Chypre où l’on célébrait la fête de Vénus il porte ses offrandes à Vénus)</w:t>
      </w:r>
    </w:p>
    <w:p w:rsidR="003C7D93" w:rsidRDefault="003C7D93" w:rsidP="003C7D93">
      <w:r>
        <w:t>Timide il dit : Si vous pouvez, dieux, tout donner,</w:t>
      </w:r>
    </w:p>
    <w:p w:rsidR="003C7D93" w:rsidRDefault="003C7D93" w:rsidP="003C7D93">
      <w:r>
        <w:lastRenderedPageBreak/>
        <w:t>Mariez-moi à une vierge, et n’osant dire ;</w:t>
      </w:r>
    </w:p>
    <w:p w:rsidR="003C7D93" w:rsidRDefault="003C7D93" w:rsidP="003C7D93">
      <w:r>
        <w:t>D’ivoire dit : pareille à ma vierge d’ivoire.</w:t>
      </w:r>
    </w:p>
    <w:p w:rsidR="003C7D93" w:rsidRDefault="003C7D93" w:rsidP="003C7D93">
      <w:r>
        <w:t>Vénus était parée d’or. Elle comprit</w:t>
      </w:r>
    </w:p>
    <w:p w:rsidR="003C7D93" w:rsidRDefault="003C7D93" w:rsidP="003C7D93">
      <w:r>
        <w:t>Ce qu’il voulait. Trois fois, présage favorable,</w:t>
      </w:r>
    </w:p>
    <w:p w:rsidR="003C7D93" w:rsidRDefault="003C7D93" w:rsidP="003C7D93">
      <w:r>
        <w:t>Sa flamme ravivée dressa sa pointe en l’air.</w:t>
      </w:r>
    </w:p>
    <w:p w:rsidR="003C7D93" w:rsidRDefault="003C7D93" w:rsidP="003C7D93">
      <w:r>
        <w:t>Rentré chez lui, il va vers sa statue chérie,</w:t>
      </w:r>
    </w:p>
    <w:p w:rsidR="003C7D93" w:rsidRDefault="003C7D93" w:rsidP="003C7D93">
      <w:r>
        <w:t>Couché, lui donne des baisers, et la sent tiède,</w:t>
      </w:r>
    </w:p>
    <w:p w:rsidR="003C7D93" w:rsidRDefault="003C7D93" w:rsidP="003C7D93">
      <w:r>
        <w:t>En approchant sa bouche et tâte sa poitrine.</w:t>
      </w:r>
    </w:p>
    <w:p w:rsidR="003C7D93" w:rsidRDefault="003C7D93" w:rsidP="003C7D93">
      <w:r>
        <w:t>L’ivoire s’amollit, perd sa rigidité</w:t>
      </w:r>
      <w:r>
        <w:rPr>
          <w:rStyle w:val="Appelnotedebasdep"/>
        </w:rPr>
        <w:footnoteReference w:id="1"/>
      </w:r>
      <w:r>
        <w:t> »</w:t>
      </w:r>
    </w:p>
    <w:p w:rsidR="003C7D93" w:rsidRDefault="003C7D93" w:rsidP="003C7D93"/>
    <w:p w:rsidR="003C7D93" w:rsidRDefault="003C7D93" w:rsidP="003C7D93">
      <w:pPr>
        <w:jc w:val="center"/>
      </w:pPr>
      <w:r w:rsidRPr="00767D62">
        <w:rPr>
          <w:noProof/>
        </w:rPr>
        <w:drawing>
          <wp:inline distT="0" distB="0" distL="0" distR="0" wp14:anchorId="6D4E15F7" wp14:editId="67ADA77A">
            <wp:extent cx="2601120" cy="3108960"/>
            <wp:effectExtent l="0" t="0" r="2540" b="2540"/>
            <wp:docPr id="1721291978" name="Image 172129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01120" cy="3108960"/>
                    </a:xfrm>
                    <a:prstGeom prst="rect">
                      <a:avLst/>
                    </a:prstGeom>
                  </pic:spPr>
                </pic:pic>
              </a:graphicData>
            </a:graphic>
          </wp:inline>
        </w:drawing>
      </w:r>
    </w:p>
    <w:p w:rsidR="003C7D93" w:rsidRDefault="003C7D93" w:rsidP="003C7D93"/>
    <w:p w:rsidR="003C7D93" w:rsidRDefault="003C7D93" w:rsidP="003C7D93">
      <w:r>
        <w:t>Falconet la saisit au moment où elle se penche vers lui, et où ayant rougi sous ses baisers, « levant vers la lumière un timide regard, la vierge ensemble voit le ciel et son amant.</w:t>
      </w:r>
    </w:p>
    <w:p w:rsidR="003C7D93" w:rsidRDefault="003C7D93" w:rsidP="003C7D93">
      <w:r>
        <w:t>Dans ce groupe on voit Amour qui vient embrasser la main du simulacre pour l’éveiller.</w:t>
      </w:r>
    </w:p>
    <w:p w:rsidR="003C7D93" w:rsidRDefault="003C7D93" w:rsidP="003C7D93">
      <w:r>
        <w:t>Le miracle a eu lieu. Sous le ciseau de Falconet le marbre s’est fait chair et l’on sait que dans le plaisir esthétique existe une profonde ambiguïté et que le spectateur peut être entrainé fort loin. A minima nous citerons le cas du jeune Flaubert qui troublé par l’Amour et Psyché de Canova nous dit dans son Voyage en Italie qu’il embrassa la statue sous l’aisselle.</w:t>
      </w:r>
    </w:p>
    <w:p w:rsidR="003C7D93" w:rsidRDefault="003C7D93" w:rsidP="003C7D93">
      <w:r>
        <w:t xml:space="preserve">Falconet est aussi sensible à la sensualité des œuvres lorsqu’il écrit : « Si vous avez vu la sainte Thérèse du Bernin et que son attitude et que son expression </w:t>
      </w:r>
      <w:proofErr w:type="gramStart"/>
      <w:r>
        <w:t>n’aient</w:t>
      </w:r>
      <w:proofErr w:type="gramEnd"/>
      <w:r>
        <w:t xml:space="preserve"> pas été plus loin que le sens de la vue, je vous demanderai quel âge et quelle santé vous aviez ce jour- là »</w:t>
      </w:r>
      <w:r>
        <w:rPr>
          <w:rStyle w:val="Appelnotedebasdep"/>
        </w:rPr>
        <w:footnoteReference w:id="2"/>
      </w:r>
    </w:p>
    <w:p w:rsidR="003C7D93" w:rsidRDefault="003C7D93" w:rsidP="003C7D93">
      <w:r>
        <w:t xml:space="preserve">La Galatée du groupe de Falconet fut habillée d’une chemise par les </w:t>
      </w:r>
      <w:proofErr w:type="spellStart"/>
      <w:r>
        <w:t>Thiroux</w:t>
      </w:r>
      <w:proofErr w:type="spellEnd"/>
      <w:r>
        <w:t xml:space="preserve"> d’Arconville !!! « J’ai sollicité par écrit et de vive voix votre Pygmalion. J’en suis fâché mon ami. Il n’y a rien à faire, et votre statue animée restera longtemps chez ces riches dévots, couverte d’une chemise de satin qu’on lève de temps en temps en faveur des curieux » conte Diderot.</w:t>
      </w:r>
    </w:p>
    <w:p w:rsidR="003C7D93" w:rsidRDefault="003C7D93" w:rsidP="003C7D93">
      <w:r>
        <w:lastRenderedPageBreak/>
        <w:t>L’on notera que cette œuvre présente un nombre infini de vues conformément à l’opinion de leur auteur selon laquelle l’ouvrage « doit avoir autant de points de vue qu’il y a de points dans l’espace qui l’environne »</w:t>
      </w:r>
      <w:r>
        <w:rPr>
          <w:rStyle w:val="Appelnotedebasdep"/>
        </w:rPr>
        <w:footnoteReference w:id="3"/>
      </w:r>
    </w:p>
    <w:p w:rsidR="003C7D93" w:rsidRDefault="003C7D93" w:rsidP="003C7D93">
      <w:pPr>
        <w:jc w:val="center"/>
      </w:pPr>
    </w:p>
    <w:p w:rsidR="003C7D93" w:rsidRDefault="003C7D93" w:rsidP="003C7D93">
      <w:pPr>
        <w:jc w:val="center"/>
      </w:pPr>
    </w:p>
    <w:sectPr w:rsidR="003C7D9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F3AD3" w:rsidRDefault="00BF3AD3" w:rsidP="003C7D93">
      <w:r>
        <w:separator/>
      </w:r>
    </w:p>
  </w:endnote>
  <w:endnote w:type="continuationSeparator" w:id="0">
    <w:p w:rsidR="00BF3AD3" w:rsidRDefault="00BF3AD3" w:rsidP="003C7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F3AD3" w:rsidRDefault="00BF3AD3" w:rsidP="003C7D93">
      <w:r>
        <w:separator/>
      </w:r>
    </w:p>
  </w:footnote>
  <w:footnote w:type="continuationSeparator" w:id="0">
    <w:p w:rsidR="00BF3AD3" w:rsidRDefault="00BF3AD3" w:rsidP="003C7D93">
      <w:r>
        <w:continuationSeparator/>
      </w:r>
    </w:p>
  </w:footnote>
  <w:footnote w:id="1">
    <w:p w:rsidR="003C7D93" w:rsidRPr="003C7D93" w:rsidRDefault="003C7D93" w:rsidP="003C7D93">
      <w:pPr>
        <w:outlineLvl w:val="0"/>
        <w:rPr>
          <w:sz w:val="20"/>
          <w:szCs w:val="20"/>
        </w:rPr>
      </w:pPr>
      <w:r>
        <w:rPr>
          <w:rStyle w:val="Appelnotedebasdep"/>
        </w:rPr>
        <w:footnoteRef/>
      </w:r>
      <w:r>
        <w:t xml:space="preserve"> </w:t>
      </w:r>
      <w:r w:rsidRPr="00900E57">
        <w:rPr>
          <w:sz w:val="20"/>
          <w:szCs w:val="20"/>
        </w:rPr>
        <w:t xml:space="preserve">OVIDE, </w:t>
      </w:r>
      <w:r w:rsidRPr="00900E57">
        <w:rPr>
          <w:i/>
          <w:sz w:val="20"/>
          <w:szCs w:val="20"/>
        </w:rPr>
        <w:t>Les Métamorphose</w:t>
      </w:r>
      <w:r w:rsidRPr="00900E57">
        <w:rPr>
          <w:sz w:val="20"/>
          <w:szCs w:val="20"/>
        </w:rPr>
        <w:t>s, Les Belles lettres, édition bilingue, traduction Olivier Sers, 2009, 1 vol Livre X 243 à 260</w:t>
      </w:r>
    </w:p>
  </w:footnote>
  <w:footnote w:id="2">
    <w:p w:rsidR="003C7D93" w:rsidRPr="00900E57" w:rsidRDefault="003C7D93" w:rsidP="003C7D93">
      <w:pPr>
        <w:rPr>
          <w:sz w:val="20"/>
          <w:szCs w:val="20"/>
        </w:rPr>
      </w:pPr>
      <w:r>
        <w:rPr>
          <w:rStyle w:val="Appelnotedebasdep"/>
        </w:rPr>
        <w:footnoteRef/>
      </w:r>
      <w:r>
        <w:t xml:space="preserve"> </w:t>
      </w:r>
      <w:r w:rsidRPr="00900E57">
        <w:rPr>
          <w:sz w:val="20"/>
          <w:szCs w:val="20"/>
        </w:rPr>
        <w:t>DAMIEN Aline</w:t>
      </w:r>
      <w:r w:rsidRPr="00900E57">
        <w:rPr>
          <w:i/>
          <w:sz w:val="20"/>
          <w:szCs w:val="20"/>
        </w:rPr>
        <w:t>, La nature et l’Antique, la chair et le contour. Essai sur la sculpture française du XVIIIe siècle</w:t>
      </w:r>
      <w:r w:rsidRPr="00900E57">
        <w:rPr>
          <w:sz w:val="20"/>
          <w:szCs w:val="20"/>
        </w:rPr>
        <w:t xml:space="preserve">, Oxford, Voltaire </w:t>
      </w:r>
      <w:proofErr w:type="spellStart"/>
      <w:r w:rsidRPr="00900E57">
        <w:rPr>
          <w:sz w:val="20"/>
          <w:szCs w:val="20"/>
        </w:rPr>
        <w:t>Foundation</w:t>
      </w:r>
      <w:proofErr w:type="spellEnd"/>
      <w:r w:rsidRPr="00900E57">
        <w:rPr>
          <w:sz w:val="20"/>
          <w:szCs w:val="20"/>
        </w:rPr>
        <w:t>, 2004,</w:t>
      </w:r>
    </w:p>
  </w:footnote>
  <w:footnote w:id="3">
    <w:p w:rsidR="003C7D93" w:rsidRDefault="003C7D93" w:rsidP="003C7D93">
      <w:pPr>
        <w:pStyle w:val="Notedebasdepage"/>
        <w:rPr>
          <w:i/>
        </w:rPr>
      </w:pPr>
      <w:r>
        <w:rPr>
          <w:rStyle w:val="Appelnotedebasdep"/>
        </w:rPr>
        <w:footnoteRef/>
      </w:r>
      <w:r>
        <w:t xml:space="preserve"> Cité par WITTKOWER Rudolf, </w:t>
      </w:r>
      <w:r w:rsidRPr="00212F5D">
        <w:rPr>
          <w:i/>
        </w:rPr>
        <w:t>Qu’est-ce que la sculpture ? Principes et procédures de l’Antiquité au XXe siècle</w:t>
      </w:r>
    </w:p>
    <w:p w:rsidR="003C7D93" w:rsidRDefault="003C7D93" w:rsidP="003C7D93">
      <w:pPr>
        <w:pStyle w:val="Notedebasdepage"/>
      </w:pPr>
      <w:proofErr w:type="gramStart"/>
      <w:r>
        <w:rPr>
          <w:i/>
        </w:rPr>
        <w:t>p</w:t>
      </w:r>
      <w:proofErr w:type="gramEnd"/>
      <w:r>
        <w:rPr>
          <w:i/>
        </w:rPr>
        <w:t xml:space="preserve"> 231</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D93"/>
    <w:rsid w:val="003C7D93"/>
    <w:rsid w:val="00BF3AD3"/>
    <w:rsid w:val="00CF60DA"/>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4:docId w14:val="0FD51DD3"/>
  <w15:chartTrackingRefBased/>
  <w15:docId w15:val="{4FEEF9E7-7106-374E-AA2F-B0E4459CC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basedOn w:val="Policepardfaut"/>
    <w:uiPriority w:val="99"/>
    <w:semiHidden/>
    <w:unhideWhenUsed/>
    <w:rsid w:val="003C7D93"/>
    <w:rPr>
      <w:vertAlign w:val="superscript"/>
    </w:rPr>
  </w:style>
  <w:style w:type="paragraph" w:styleId="Notedebasdepage">
    <w:name w:val="footnote text"/>
    <w:basedOn w:val="Normal"/>
    <w:link w:val="NotedebasdepageCar"/>
    <w:uiPriority w:val="99"/>
    <w:semiHidden/>
    <w:unhideWhenUsed/>
    <w:rsid w:val="003C7D93"/>
    <w:rPr>
      <w:kern w:val="0"/>
      <w:sz w:val="20"/>
      <w:szCs w:val="20"/>
      <w14:ligatures w14:val="none"/>
    </w:rPr>
  </w:style>
  <w:style w:type="character" w:customStyle="1" w:styleId="NotedebasdepageCar">
    <w:name w:val="Note de bas de page Car"/>
    <w:basedOn w:val="Policepardfaut"/>
    <w:link w:val="Notedebasdepage"/>
    <w:uiPriority w:val="99"/>
    <w:semiHidden/>
    <w:rsid w:val="003C7D93"/>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Pages>
  <Words>489</Words>
  <Characters>2694</Characters>
  <Application>Microsoft Office Word</Application>
  <DocSecurity>0</DocSecurity>
  <Lines>22</Lines>
  <Paragraphs>6</Paragraphs>
  <ScaleCrop>false</ScaleCrop>
  <Company/>
  <LinksUpToDate>false</LinksUpToDate>
  <CharactersWithSpaces>3177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2023-12-02T13:47:00Z</dcterms:created>
  <dcterms:modified xsi:type="dcterms:W3CDTF">2023-12-02T13:58:00Z</dcterms:modified>
</cp:coreProperties>
</file>